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History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 reviewer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تاریخ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4"/>
        <w:gridCol w:w="4372"/>
        <w:gridCol w:w="4414"/>
        <w:tblGridChange w:id="0">
          <w:tblGrid>
            <w:gridCol w:w="4264"/>
            <w:gridCol w:w="4372"/>
            <w:gridCol w:w="441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درجہ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Publisher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)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733.945312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Textbook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Reviewed on: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Recommendation for NOC: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Strongly Recommend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Recommend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Conditionally Recommend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not Recommend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(dd/mm/yy)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Designation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Signatures of Reviewer(s):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3">
            <w:col w:space="720" w:w="3840"/>
            <w:col w:space="720" w:w="3840"/>
            <w:col w:space="0" w:w="3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required in order to acquire NOC for the given textbook.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42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#  </w:t>
            </w:r>
          </w:p>
          <w:p w:rsidR="00000000" w:rsidDel="00000000" w:rsidP="00000000" w:rsidRDefault="00000000" w:rsidRPr="00000000" w14:paraId="00000045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8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49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ڈومین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ایریاز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ہموار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منتقلی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Content, activities and assessments are aligned with curriculum SLOs.</w:t>
            </w:r>
          </w:p>
          <w:p w:rsidR="00000000" w:rsidDel="00000000" w:rsidP="00000000" w:rsidRDefault="00000000" w:rsidRPr="00000000" w14:paraId="00000071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حکمت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عملیاں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تشکیلاتی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and legible.</w:t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بنیاد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سائز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مضامین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دقیانوسی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7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9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4"/>
                  <w:szCs w:val="24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8E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1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2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2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4725"/>
        <w:gridCol w:w="5505"/>
        <w:tblGridChange w:id="0">
          <w:tblGrid>
            <w:gridCol w:w="3195"/>
            <w:gridCol w:w="4725"/>
            <w:gridCol w:w="55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B7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710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C2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C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C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CA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CD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بیرونی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ٹھوس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D5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میپنگ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The mention of Prophet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by the Government of Pakistan ref: No. F.1(1)/AD(Isl)/2016 dated 21st August 2020.</w:t>
            </w:r>
          </w:p>
          <w:p w:rsidR="00000000" w:rsidDel="00000000" w:rsidP="00000000" w:rsidRDefault="00000000" w:rsidRPr="00000000" w14:paraId="000000DC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نوٹیفیکیشن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لکھا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رسول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DD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 (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3367d6"/>
                  <w:sz w:val="20"/>
                  <w:szCs w:val="20"/>
                  <w:highlight w:val="white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E4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پبلشرز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ہائر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ایجوکیشن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لائن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۱۹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۵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5415"/>
        <w:gridCol w:w="5130"/>
        <w:tblGridChange w:id="0">
          <w:tblGrid>
            <w:gridCol w:w="3195"/>
            <w:gridCol w:w="5415"/>
            <w:gridCol w:w="51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0E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464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F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FB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FC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00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02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Key vocabulary of history is identified (bold, italicised etc.) and defined (e.g. in footnotes, glossary or within the text).</w:t>
            </w:r>
          </w:p>
          <w:p w:rsidR="00000000" w:rsidDel="00000000" w:rsidP="00000000" w:rsidRDefault="00000000" w:rsidRPr="00000000" w14:paraId="0000010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bidi w:val="1"/>
              <w:spacing w:line="32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تعریف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letter no. F.4(5)2015-(NCC) by the federal ministry dated 4th February 2022)</w:t>
            </w:r>
          </w:p>
          <w:p w:rsidR="00000000" w:rsidDel="00000000" w:rsidP="00000000" w:rsidRDefault="00000000" w:rsidRPr="00000000" w14:paraId="0000010E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تربیت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2022)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The language used to describe historical events encourages independent thinking, i.e., it leaves room for the reader to consider various perspectives for developing their own informed viewpoints. </w:t>
              <w:br w:type="textWrapping"/>
              <w:t xml:space="preserve">(For example, a “disastrous” event in history for one group may have presented opportunities for another. Similarly, information and knowledge based on theory is not presented like a proven fact.)</w:t>
            </w:r>
          </w:p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واقعات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آزاد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حوصلہ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افزائی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قاری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باخبر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نقطہ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زاویوں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غور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گنجائش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چھوڑتی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17">
            <w:pPr>
              <w:bidi w:val="1"/>
              <w:spacing w:line="320" w:lineRule="auto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گروہ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تباہ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واقعہ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دوسرے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گروہ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پیش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تھیوری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حقیقت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پیش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جاتا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۔)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15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24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2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2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3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34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بہاؤ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ڈالتا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یکساں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467.0" w:type="dxa"/>
        <w:jc w:val="left"/>
        <w:tblInd w:w="-2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Quality of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3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4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42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(in text, charts, illustrations, maps etc.)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6">
            <w:pPr>
              <w:ind w:left="720" w:firstLine="0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ارتکاز</w:t>
            </w:r>
          </w:p>
          <w:p w:rsidR="00000000" w:rsidDel="00000000" w:rsidP="00000000" w:rsidRDefault="00000000" w:rsidRPr="00000000" w14:paraId="00000148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1۔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رائجہے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4F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950"/>
        <w:gridCol w:w="5325"/>
        <w:tblGridChange w:id="0">
          <w:tblGrid>
            <w:gridCol w:w="2910"/>
            <w:gridCol w:w="4950"/>
            <w:gridCol w:w="53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15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66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167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6C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6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70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7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دلچسپ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حوصلہ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افزائی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مشغول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انٹرایکٹو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7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84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تجربات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مستند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8C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مفاہیم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93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توسیعی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9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عکاسی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مرتبہ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ردعمل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ابواب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مقاصد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پہچاننے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بہتر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25"/>
        <w:gridCol w:w="5430"/>
        <w:tblGridChange w:id="0">
          <w:tblGrid>
            <w:gridCol w:w="2910"/>
            <w:gridCol w:w="4725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A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1A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26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B8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9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BD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B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C1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C4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inside pages) in the textbook.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5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 uses a variety 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appropriately annotated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CC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موثر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D3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لغت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شروع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آخر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1D4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سپلیمنٹری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ریڈنگ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میڑیل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</w:p>
          <w:p w:rsidR="00000000" w:rsidDel="00000000" w:rsidP="00000000" w:rsidRDefault="00000000" w:rsidRPr="00000000" w14:paraId="000001D5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[OPTIONAL: Fill only if this applies to the given textbook]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DD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اختیاری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DE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890"/>
        <w:gridCol w:w="5520"/>
        <w:tblGridChange w:id="0">
          <w:tblGrid>
            <w:gridCol w:w="2910"/>
            <w:gridCol w:w="4890"/>
            <w:gridCol w:w="55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1E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F4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F8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FA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FC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FF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عالمی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انسانوں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جانوروں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رواداری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احترام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content (text and illustrations) is free of violence against all living things.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اینیمیشنز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مشرقی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مغربی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20D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یونیفارم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ً،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لڑکوں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شارٹس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اسکارف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دوپٹہ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لازمی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لیکن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5"/>
        <w:gridCol w:w="3315"/>
        <w:gridCol w:w="3780"/>
        <w:gridCol w:w="3060"/>
        <w:tblGridChange w:id="0">
          <w:tblGrid>
            <w:gridCol w:w="2905"/>
            <w:gridCol w:w="3315"/>
            <w:gridCol w:w="3780"/>
            <w:gridCol w:w="3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25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26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27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100" w:before="100" w:lineRule="auto"/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OPTIONAL: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2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Support for teachers in the textbook is not required for NOC.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3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تفصیلی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33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23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270"/>
        <w:gridCol w:w="2805"/>
        <w:gridCol w:w="3660"/>
        <w:tblGridChange w:id="0">
          <w:tblGrid>
            <w:gridCol w:w="720"/>
            <w:gridCol w:w="627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5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25C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28"/>
          <w:szCs w:val="28"/>
          <w:rtl w:val="0"/>
        </w:rPr>
        <w:t xml:space="preserve">Evaluation Summary</w:t>
      </w:r>
    </w:p>
    <w:tbl>
      <w:tblPr>
        <w:tblStyle w:val="Table20"/>
        <w:tblW w:w="1377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269">
      <w:pPr>
        <w:spacing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br w:type="textWrapping"/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">
    <w:name w:val="Table Grid"/>
    <w:basedOn w:val="TableNormal"/>
    <w:uiPriority w:val="39"/>
    <w:rsid w:val="006C7E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c.gov.pk/english/services/faculty/Documents/Plagiarism/Guidelines%20on%20Turnitin.pdf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mailto:official@snc.gov.pk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WhUxHNXB0d5nev8I/ZXpWYLEQ==">AMUW2mVrH+BCHEXXi1sco8Oa3a3KJqccwolz5X3ssr9XiI54tJ28+KPlCVIZ/7QWrT7VuERHmjTJ/ScPMV1Orhq20IswVr8ap2yKoFsXR5owra15RUgkO65bO6U/p/ZEppwmlCi4tIBw6xvRjm9zO14mFU0wxIPKolWnu1Y8n314DRaycF+nnlA=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2022-03-04T11:43:00Z</dcterms:created>
  <dc:creator>Azam</dc:creator>
</cp:coreProperties>
</file>